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C59FF" w:rsidRDefault="00000000">
      <w:pPr>
        <w:pStyle w:val="DocumentIdentifier"/>
      </w:pPr>
      <w:r>
        <w:t xml:space="preserve">GOT-V1-3a-0</w:t>
      </w:r>
    </w:p>
    <w:p w:rsidR="005C59FF" w:rsidRDefault="00000000">
      <w:pPr>
        <w:pStyle w:val="Title"/>
      </w:pPr>
      <w:r>
        <w:t xml:space="preserve">0. Part 3a: Prelude</w:t>
      </w:r>
    </w:p>
    <w:p w:rsidR="005C59FF" w:rsidRDefault="00000000">
      <w:pPr>
        <w:pStyle w:val="Subtitle"/>
      </w:pPr>
      <w:r>
        <w:t xml:space="preserve">Horizon and Unknown Discipline</w:t>
      </w:r>
    </w:p>
    <w:p w:rsidR="005C59FF" w:rsidRDefault="00000000">
      <w:pPr>
        <w:pStyle w:val="PreludeOrientation"/>
      </w:pPr>
      <w:r>
        <w:t xml:space="preserve">Reader introduction • Non-canonical. The Part 3a papers govern technical definitions, arguments and evidence.</w:t>
      </w:r>
    </w:p>
    <w:p w:rsidR="005C59FF" w:rsidRDefault="00000000">
      <w:pPr>
        <w:pStyle w:val="Heading1"/>
      </w:pPr>
      <w:r>
        <w:t xml:space="preserve">1. If This Were Possible</w:t>
      </w:r>
    </w:p>
    <w:p w:rsidR="005C59FF" w:rsidRDefault="00000000">
      <w:pPr>
        <w:keepNext/>
      </w:pPr>
      <w:r>
        <w:rPr>
          <w:b/>
        </w:rPr>
        <w:t xml:space="preserve">What if we could act on our best available understanding without losing account of what remains unknown?</w:t>
      </w:r>
    </w:p>
    <w:p w:rsidR="005C59FF" w:rsidRDefault="00000000">
      <w:r>
        <w:t xml:space="preserve">We need answers in order to continue. We make decisions, accept explanations and rely on classifications before every relevant question has been settled. Much of this confidence is earned. Yet a conclusion adequate for one purpose can gradually become accepted certainty, while its supporting conditions and unresolved questions disappear.</w:t>
      </w:r>
    </w:p>
    <w:p w:rsidR="005C59FF" w:rsidRDefault="00000000">
      <w:r>
        <w:t xml:space="preserve">The earlier Parts grounded finite observation and the load-bearing terms through which we describe it. Part 3a asks what those grounds permit us to conclude, and how we proceed when they remain incomplete. Having a real observation does not settle every question we can ask of it.</w:t>
      </w:r>
    </w:p>
    <w:p w:rsidR="005C59FF" w:rsidRDefault="00000000">
      <w:r>
        <w:t xml:space="preserve">If we could make these limits explicit and keep them attached to subsequent decisions, we could preserve justified confidence while preventing a necessary working answer from acquiring authority it has not earned.</w:t>
      </w:r>
    </w:p>
    <w:p w:rsidR="005C59FF" w:rsidRDefault="00000000">
      <w:pPr>
        <w:pStyle w:val="Heading1"/>
      </w:pPr>
      <w:r>
        <w:t xml:space="preserve">2. Why This Is Difficult</w:t>
      </w:r>
    </w:p>
    <w:p w:rsidR="005C59FF" w:rsidRDefault="00000000">
      <w:r>
        <w:t xml:space="preserve">A usable answer lets us stop searching, coordinate with others and act. Reopening everything indefinitely would make ordinary life impossible. The difficulty is that the answer often travels more easily than the conditions under which it was accepted.</w:t>
      </w:r>
    </w:p>
    <w:p w:rsidR="005C59FF" w:rsidRDefault="00000000">
      <w:r>
        <w:t xml:space="preserve">A model adequate for prediction becomes treated as a complete explanation. A classification useful for screening becomes a final judgement. A decision made under uncertainty becomes remembered as something we knew. The record preserves the selected answer while alternatives, limitations and reasons for revision become harder to recover.</w:t>
      </w:r>
    </w:p>
    <w:p w:rsidR="005C59FF" w:rsidRDefault="00000000">
      <w:r>
        <w:t xml:space="preserve">Neither confidence nor doubt identifies the problem reliably. We can feel certain while a decisive condition remains unresolved, or remain hesitant despite strong evidence. The task is to account for what the available relation supports, for whom and for which purpose. That requires more than a general acknowledgement that uncertainty exists.</w:t>
      </w:r>
    </w:p>
    <w:p w:rsidR="005C59FF" w:rsidRDefault="00000000">
      <w:pPr>
        <w:pStyle w:val="Heading1"/>
        <w:pageBreakBefore/>
        <w:spacing w:before="0"/>
      </w:pPr>
      <w:r>
        <w:t xml:space="preserve">3. What We Propose</w:t>
      </w:r>
    </w:p>
    <w:p w:rsidR="005C59FF" w:rsidRDefault="00000000">
      <w:r>
        <w:t xml:space="preserve">General Organisation Theory and The Epistemic Method begin this next step by separating what becomes available from what it establishes. A signal may arrive without its source being identified. A measurement may be recorded without its cause being explained. A question may be expressible without the present method being able to settle it.</w:t>
      </w:r>
    </w:p>
    <w:p w:rsidR="005C59FF" w:rsidRDefault="00000000">
      <w:r>
        <w:t xml:space="preserve">A horizon names a boundary in that relation: what is available to this system under these conditions, and what prevents it from satisfying the particular demand being made. The demand matters. Enough support for prediction may leave explanation open; enough support for a limited action may leave identification unresolved.</w:t>
      </w:r>
    </w:p>
    <w:p w:rsidR="005C59FF" w:rsidRDefault="00000000">
      <w:r>
        <w:t xml:space="preserve">Where a conclusion is sufficiently supported for a stated purpose while relevant uncertainty remains, the papers call it a Soft Horizon. Its scope, comparison conditions, remaining uncertainty and conditions for revision must travel with it. This gives provisional conclusions a disciplined form.</w:t>
      </w:r>
    </w:p>
    <w:p w:rsidR="005C59FF" w:rsidRDefault="00000000">
      <w:r>
        <w:t xml:space="preserve">The unknown then becomes something we can distinguish and account for. Missing access calls for a different response from an unexplained observation or an incorrect classification. Where an attempted claim remains unclosed, its residual identifies the unmet condition, the stronger claim it blocks and the evidence that would change the position.</w:t>
      </w:r>
    </w:p>
    <w:p w:rsidR="005C59FF" w:rsidRDefault="00000000">
      <w:r>
        <w:t xml:space="preserve">We can compare the alternatives that remain admissible, exclude those that fail and carry the strongest current account as a Best Available Formulation. Its purpose and residual remain attached. Unresolved alternatives need not have equal support, and selecting the strongest does not make it final.</w:t>
      </w:r>
    </w:p>
    <w:p w:rsidR="005C59FF" w:rsidRDefault="00000000">
      <w:pPr>
        <w:pStyle w:val="Heading1"/>
      </w:pPr>
      <w:r>
        <w:t xml:space="preserve">4. What This Part Inherits</w:t>
      </w:r>
    </w:p>
    <w:p w:rsidR="005C59FF" w:rsidRDefault="00000000">
      <w:r>
        <w:t xml:space="preserve">Part 1 supplies the discipline of locating where an organised distinction changes what happens next and testing that dependence. Part 2a grounds the pathways through which physical differences become available, abstracted, registered and retained. Part 2b gives knowledge, intelligence and observation distinct functions within that architecture.</w:t>
      </w:r>
    </w:p>
    <w:p w:rsidR="005C59FF" w:rsidRDefault="00000000">
      <w:r>
        <w:t xml:space="preserve">Part 3a inherits those physical requirements and their empirical tests. Its additional task is to distinguish what a relation makes available from the strength of the conclusion or action built upon it. A retained record can do real causal work while failing to support the explanation assigned to it.</w:t>
      </w:r>
    </w:p>
    <w:p w:rsidR="005C59FF" w:rsidRDefault="00000000">
      <w:r>
        <w:t xml:space="preserve">The architecture remains substrate agnostic. The access and closure conditions can be examined in organisms, instruments, machines and coupled human systems, with the relevant pathway and limitations established in each case.</w:t>
      </w:r>
    </w:p>
    <w:p w:rsidR="005C59FF" w:rsidRDefault="00000000">
      <w:pPr>
        <w:pStyle w:val="Heading1"/>
        <w:pageBreakBefore/>
        <w:spacing w:before="0"/>
      </w:pPr>
      <w:r>
        <w:t xml:space="preserve">5. Why Two Papers</w:t>
      </w:r>
    </w:p>
    <w:p w:rsidR="005C59FF" w:rsidRDefault="00000000">
      <w:r>
        <w:rPr>
          <w:b/>
        </w:rPr>
        <w:t xml:space="preserve">The Gödel Horizon</w:t>
      </w:r>
      <w:r>
        <w:t xml:space="preserve"> establishes the boundaries between availability and closure. It explains why provisional conclusions are necessary, how they overreach, and how a system can make a relation available without being able to settle it. The Gödel Horizon itself requires the present abstraction regime to disclose a limit in its own resources for closure. The mathematical theorem supplies the formal exemplar; wider applications must establish their own conditions. An unanswered question alone does not meet that burden.</w:t>
      </w:r>
    </w:p>
    <w:p w:rsidR="005C59FF" w:rsidRDefault="00000000">
      <w:r>
        <w:rPr>
          <w:b/>
        </w:rPr>
        <w:t xml:space="preserve">The Discipline of the Unknown</w:t>
      </w:r>
      <w:r>
        <w:t xml:space="preserve"> asks how we continue once these boundaries are explicit. It distinguishes forms of unresolved relation, compares live alternatives and develops the Best Available Formulation with its remaining uncertainty preserved. It then separates the grounds for action from the grounds for a stronger conclusion, making safeguards, monitoring, stop conditions and revision part of proceeding under uncertainty. The first paper locates the boundary; the second develops the discipline for working with it.</w:t>
      </w:r>
    </w:p>
    <w:p w:rsidR="005C59FF" w:rsidRDefault="00000000">
      <w:pPr>
        <w:pStyle w:val="Heading1"/>
      </w:pPr>
      <w:r>
        <w:t xml:space="preserve">6. What You Need to Grant – and What You Do Not</w:t>
      </w:r>
    </w:p>
    <w:p w:rsidR="005C59FF" w:rsidRDefault="00000000">
      <w:r>
        <w:t xml:space="preserve">The invitation is to examine whether claims can be made more accountable by specifying their support, purpose, limits and correction conditions. Strong evidence remains strong. A well-founded conclusion need not be weakened merely because it leaves other questions open.</w:t>
      </w:r>
    </w:p>
    <w:p w:rsidR="005C59FF" w:rsidRDefault="00000000">
      <w:r>
        <w:t xml:space="preserve">This does not require treating all views as equal, assigning numerical probabilities to every unknown, or projecting conscious doubt onto a cell or instrument. Nor must action wait for complete understanding. Its justification must fit the particular action and its consequences; proceeding does not erase what remains unresolved.</w:t>
      </w:r>
    </w:p>
    <w:p w:rsidR="005C59FF" w:rsidRDefault="00000000">
      <w:pPr>
        <w:pStyle w:val="Heading1"/>
      </w:pPr>
      <w:r>
        <w:t xml:space="preserve">7. Where to Attack It</w:t>
      </w:r>
    </w:p>
    <w:p w:rsidR="005C59FF" w:rsidRDefault="00000000">
      <w:r>
        <w:t xml:space="preserve">Consider a hypothetical detector whose retained response could be produced by either of two chemical inputs. Compare the inputs under matched measurement conditions. If the records remain indistinguishable, the detector may register a change without identifying which input caused it. A source-specific conclusion would exceed what that record preserves.</w:t>
      </w:r>
    </w:p>
    <w:p w:rsidR="005C59FF" w:rsidRDefault="00000000">
      <w:r>
        <w:t xml:space="preserve">A second measurement could help only if its realised pathway supplies the missing distinction. Describing a possible test does not mean that the evidence is available. If independent evidence separates the inputs, the account must update; it cannot preserve uncertainty by ignoring the discriminator that resolves it.</w:t>
      </w:r>
    </w:p>
    <w:p w:rsidR="005C59FF" w:rsidRDefault="00000000">
      <w:r>
        <w:t xml:space="preserve">A connected control system might still pause a process under a separately justified protective threshold. That response would need limits, monitoring and a condition for resuming or revising it. The pause itself would not prove the source. This is a proposed comparison, not a reported experiment.</w:t>
      </w:r>
    </w:p>
    <w:p w:rsidR="005C59FF" w:rsidRDefault="00000000">
      <w:r>
        <w:t xml:space="preserve">Attack the framework where its distinctions do no work. Does the unresolved identity actually block the stronger claim? Can the permitted action and its stopping conditions be recovered? Does contrary evidence change the formulation? If uncertainty is recorded but cannot constrain or revise anything, the promised accounting has not been provided.</w:t>
      </w:r>
    </w:p>
    <w:p w:rsidR="005C59FF" w:rsidRDefault="00000000">
      <w:pPr>
        <w:pStyle w:val="Heading1"/>
        <w:pageBreakBefore/>
        <w:spacing w:before="0"/>
      </w:pPr>
      <w:r>
        <w:t xml:space="preserve">8. If the Architecture Holds</w:t>
      </w:r>
    </w:p>
    <w:p w:rsidR="005C59FF" w:rsidRDefault="00000000">
      <w:r>
        <w:t xml:space="preserve">If this discipline survives scrutiny, it could make our conclusions more useful by making their strength and limits recoverable. We could carry a well-supported account forward without erasing the questions it leaves open, and preserve why a decision was justified at the time without rewriting that decision as certainty afterwards.</w:t>
      </w:r>
    </w:p>
    <w:p w:rsidR="005C59FF" w:rsidRDefault="00000000">
      <w:r>
        <w:t xml:space="preserve">The same requirement matters for intelligent machines. Grounding their language must include preserving the difference between an answer produced, a claim supported and a question resolved. More fluent or extensive output cannot by itself supply a missing evidential pathway. The proposed gain is an empirical, auditable account of what the system can establish and what would require it to change.</w:t>
      </w:r>
    </w:p>
    <w:p w:rsidR="005C59FF" w:rsidRDefault="00000000">
      <w:r>
        <w:t xml:space="preserve">This makes the unknown an operating condition to be handled explicitly. Some limits call for further observation, some for revised methods, some for constrained action, and some for suspension. The later Parts examine power, responsibility and trust on that foundation. These two papers begin by asking how a finite system can continue while remaining answerable to what it has not established.</w:t>
      </w:r>
    </w:p>
    <w:p w:rsidR="005C59FF" w:rsidRDefault="00000000">
      <w:pPr>
        <w:pStyle w:val="SourceNoteHeading"/>
      </w:pPr>
      <w:r>
        <w:t xml:space="preserve">Canonical source note</w:t>
      </w:r>
    </w:p>
    <w:p w:rsidR="005C59FF" w:rsidRDefault="00000000">
      <w:r>
        <w:t xml:space="preserve">Canonical basis: The Gödel Horizon (GOT-V1-3a-1), Issue 1, and The Discipline of the Unknown (GOT-V1-3a-2), Issue 1. Their definitions, qualifications, formal dependencies and evidence govern this introduction. The detector example is illustrative.</w:t>
      </w:r>
    </w:p>
    <w:p w:rsidR="005C59FF" w:rsidRDefault="00000000">
      <w:r>
        <w:t xml:space="preserve">Prepared under GOT-SD-PRELUDE-01, Issue 2, with the Part 3 Issue 1 concept map, glossary, guardrail register and bibliography/relation register as secondary checks. The book supplies wider orientation; the issued Part 1, Part 2a and Part 2b preludes supply the presentation precedent.</w:t>
      </w:r>
    </w:p>
    <w:sectPr w:rsidR="005C59FF" w:rsidSect="0003461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260F79" w14:textId="77777777" w:rsidR="004B76CB" w:rsidRDefault="004B76CB">
      <w:pPr>
        <w:spacing w:after="0" w:line="240" w:lineRule="auto"/>
      </w:pPr>
      <w:r>
        <w:separator/>
      </w:r>
    </w:p>
  </w:endnote>
  <w:endnote w:type="continuationSeparator" w:id="0">
    <w:p w14:paraId="127609E5" w14:textId="77777777" w:rsidR="004B76CB" w:rsidRDefault="004B7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8CD8" w14:textId="77777777" w:rsidR="005C59FF" w:rsidRDefault="005C59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B57B" w14:textId="77777777" w:rsidR="005C59FF" w:rsidRDefault="00000000">
    <w:pPr>
      <w:pStyle w:val="Footer"/>
      <w:jc w:val="right"/>
    </w:pPr>
    <w:r>
      <w:t xml:space="preserve">GOT-V1-3a-0 | Issue 1 | </w:t>
    </w:r>
    <w:r>
      <w:fldChar w:fldCharType="begin"/>
    </w:r>
    <w:r>
      <w:instrText xml:space="preserve"> PAGE </w:instrText>
    </w:r>
    <w:r w:rsidR="001C5DC4">
      <w:fldChar w:fldCharType="separate"/>
    </w:r>
    <w:r w:rsidR="001C5DC4">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0895" w14:textId="77777777" w:rsidR="005C59FF" w:rsidRDefault="005C59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D5BF" w14:textId="77777777" w:rsidR="004B76CB" w:rsidRDefault="004B76CB">
      <w:pPr>
        <w:spacing w:after="0" w:line="240" w:lineRule="auto"/>
      </w:pPr>
      <w:r>
        <w:separator/>
      </w:r>
    </w:p>
  </w:footnote>
  <w:footnote w:type="continuationSeparator" w:id="0">
    <w:p w14:paraId="4B12DD17" w14:textId="77777777" w:rsidR="004B76CB" w:rsidRDefault="004B7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F27C" w14:textId="77777777" w:rsidR="005C59FF" w:rsidRDefault="005C59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8118E" w14:textId="77777777" w:rsidR="005C59FF" w:rsidRDefault="00000000">
    <w:pPr>
      <w:pStyle w:val="DocumentIdentifier"/>
      <w:jc w:val="right"/>
      <w:rPr>
        <w:sz w:val="18"/>
        <w:szCs w:val="18"/>
      </w:rPr>
    </w:pPr>
    <w:r>
      <w:rPr>
        <w:sz w:val="18"/>
        <w:szCs w:val="18"/>
      </w:rPr>
      <w:t>General Organisation Theory | Part 3a: Horizon and Unknown Discipline | Prelude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BCD08" w14:textId="77777777" w:rsidR="005C59FF" w:rsidRDefault="005C59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rPr>
        <w:rFonts w:ascii="Arial" w:eastAsia="Arial" w:hAnsi="Arial" w:cs="Arial"/>
        <w:sz w:val="22"/>
        <w:szCs w:val="22"/>
      </w:r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rPr>
        <w:rFonts w:ascii="Arial" w:eastAsia="Arial" w:hAnsi="Arial" w:cs="Arial"/>
        <w:sz w:val="22"/>
        <w:szCs w:val="22"/>
      </w:r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rPr>
        <w:rFonts w:ascii="Arial" w:eastAsia="Arial" w:hAnsi="Arial" w:cs="Arial"/>
        <w:sz w:val="22"/>
        <w:szCs w:val="22"/>
      </w:r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rPr>
        <w:rFonts w:ascii="Arial" w:eastAsia="Arial" w:hAnsi="Arial" w:cs="Arial"/>
        <w:sz w:val="22"/>
        <w:szCs w:val="22"/>
      </w:r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rPr>
        <w:rFonts w:ascii="Arial" w:eastAsia="Arial" w:hAnsi="Arial" w:cs="Arial"/>
        <w:sz w:val="22"/>
        <w:szCs w:val="22"/>
      </w:r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2450375">
    <w:abstractNumId w:val="8"/>
  </w:num>
  <w:num w:numId="2" w16cid:durableId="472449119">
    <w:abstractNumId w:val="6"/>
  </w:num>
  <w:num w:numId="3" w16cid:durableId="347144723">
    <w:abstractNumId w:val="5"/>
  </w:num>
  <w:num w:numId="4" w16cid:durableId="1690445381">
    <w:abstractNumId w:val="4"/>
  </w:num>
  <w:num w:numId="5" w16cid:durableId="2128623454">
    <w:abstractNumId w:val="7"/>
  </w:num>
  <w:num w:numId="6" w16cid:durableId="1649477305">
    <w:abstractNumId w:val="3"/>
  </w:num>
  <w:num w:numId="7" w16cid:durableId="1577592314">
    <w:abstractNumId w:val="2"/>
  </w:num>
  <w:num w:numId="8" w16cid:durableId="1219055688">
    <w:abstractNumId w:val="1"/>
  </w:num>
  <w:num w:numId="9" w16cid:durableId="1573345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C5DC4"/>
    <w:rsid w:val="0029639D"/>
    <w:rsid w:val="00326F90"/>
    <w:rsid w:val="004B76CB"/>
    <w:rsid w:val="005C59FF"/>
    <w:rsid w:val="00A23176"/>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3A2914"/>
  <w14:defaultImageDpi w14:val="300"/>
  <w15:docId w15:val="{57E8EF96-C161-4C46-AA9B-680C1C4B41D7}"/>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9" w:lineRule="auto"/>
    </w:pPr>
    <w:rPr>
      <w:rFonts w:ascii="Arial" w:eastAsia="Arial" w:hAnsi="Arial" w:cs="Arial"/>
    </w:rPr>
  </w:style>
  <w:style w:type="paragraph" w:styleId="Heading1">
    <w:name w:val="heading 1"/>
    <w:basedOn w:val="Normal"/>
    <w:next w:val="Normal"/>
    <w:link w:val="Heading1Char"/>
    <w:uiPriority w:val="9"/>
    <w:qFormat/>
    <w:rsid w:val="00FC693F"/>
    <w:pPr>
      <w:keepNext/>
      <w:keepLines/>
      <w:spacing w:before="320" w:after="120"/>
      <w:outlineLvl w:val="0"/>
    </w:pPr>
    <w:rPr>
      <w:b/>
      <w:bCs/>
      <w:color w:val="365F91" w:themeColor="accent1" w:themeShade="BF"/>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F81BD" w:themeColor="accent1"/>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rPr>
      <w:sz w:val="18"/>
      <w:szCs w:val="18"/>
    </w:rPr>
  </w:style>
  <w:style w:type="character" w:customStyle="1" w:styleId="HeaderChar">
    <w:name w:val="Header Char"/>
    <w:basedOn w:val="DefaultParagraphFont"/>
    <w:link w:val="Header"/>
    <w:uiPriority w:val="99"/>
    <w:rsid w:val="00E618BF"/>
    <w:rPr>
      <w:rFonts w:ascii="Arial" w:eastAsia="Arial" w:hAnsi="Arial" w:cs="Arial"/>
    </w:rPr>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8"/>
      <w:szCs w:val="18"/>
    </w:rPr>
  </w:style>
  <w:style w:type="character" w:customStyle="1" w:styleId="FooterChar">
    <w:name w:val="Footer Char"/>
    <w:basedOn w:val="DefaultParagraphFont"/>
    <w:link w:val="Footer"/>
    <w:uiPriority w:val="99"/>
    <w:rsid w:val="00E618BF"/>
    <w:rPr>
      <w:rFonts w:ascii="Arial" w:eastAsia="Arial" w:hAnsi="Arial" w:cs="Arial"/>
    </w:rPr>
  </w:style>
  <w:style w:type="paragraph" w:styleId="NoSpacing">
    <w:name w:val="No Spacing"/>
    <w:uiPriority w:val="1"/>
    <w:qFormat/>
    <w:rsid w:val="00FC693F"/>
    <w:pPr>
      <w:spacing w:after="0" w:line="240" w:lineRule="auto"/>
    </w:pPr>
    <w:rPr>
      <w:rFonts w:ascii="Arial" w:eastAsia="Arial" w:hAnsi="Arial" w:cs="Arial"/>
    </w:rPr>
  </w:style>
  <w:style w:type="character" w:customStyle="1" w:styleId="Heading1Char">
    <w:name w:val="Heading 1 Char"/>
    <w:basedOn w:val="DefaultParagraphFont"/>
    <w:link w:val="Heading1"/>
    <w:uiPriority w:val="9"/>
    <w:rsid w:val="00FC693F"/>
    <w:rPr>
      <w:rFonts w:ascii="Arial" w:eastAsia="Arial" w:hAnsi="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eastAsia="Arial" w:hAnsi="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eastAsia="Arial" w:hAnsi="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60" w:line="240" w:lineRule="auto"/>
      <w:contextualSpacing/>
    </w:pPr>
    <w:rPr>
      <w:b/>
      <w:color w:val="17365D" w:themeColor="text2" w:themeShade="BF"/>
      <w:spacing w:val="5"/>
      <w:kern w:val="28"/>
      <w:sz w:val="40"/>
      <w:szCs w:val="40"/>
    </w:rPr>
  </w:style>
  <w:style w:type="character" w:customStyle="1" w:styleId="TitleChar">
    <w:name w:val="Title Char"/>
    <w:basedOn w:val="DefaultParagraphFont"/>
    <w:link w:val="Title"/>
    <w:uiPriority w:val="10"/>
    <w:rsid w:val="00FC693F"/>
    <w:rPr>
      <w:rFonts w:ascii="Arial" w:eastAsia="Arial" w:hAnsi="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240"/>
    </w:pPr>
    <w:rPr>
      <w:i/>
      <w:iCs/>
      <w:color w:val="4F81BD" w:themeColor="accent1"/>
      <w:spacing w:val="15"/>
    </w:rPr>
  </w:style>
  <w:style w:type="character" w:customStyle="1" w:styleId="SubtitleChar">
    <w:name w:val="Subtitle Char"/>
    <w:basedOn w:val="DefaultParagraphFont"/>
    <w:link w:val="Subtitle"/>
    <w:uiPriority w:val="11"/>
    <w:rsid w:val="00FC693F"/>
    <w:rPr>
      <w:rFonts w:ascii="Arial" w:eastAsia="Arial" w:hAnsi="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eastAsia="Arial" w:hAnsi="Arial" w:cs="Arial"/>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eastAsia="Arial" w:hAnsi="Arial" w:cs="Arial"/>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eastAsia="Arial" w:hAnsi="Arial" w:cs="Arial"/>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eastAsia="Arial" w:hAnsi="Arial" w:cs="Arial"/>
      <w:sz w:val="20"/>
      <w:szCs w:val="20"/>
    </w:rPr>
  </w:style>
  <w:style w:type="character" w:customStyle="1" w:styleId="MacroTextChar">
    <w:name w:val="Macro Text Char"/>
    <w:basedOn w:val="DefaultParagraphFont"/>
    <w:link w:val="MacroText"/>
    <w:uiPriority w:val="99"/>
    <w:rsid w:val="0029639D"/>
    <w:rPr>
      <w:rFonts w:ascii="Arial" w:eastAsia="Arial" w:hAnsi="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rFonts w:ascii="Arial" w:eastAsia="Arial" w:hAnsi="Arial" w:cs="Arial"/>
      <w:i/>
      <w:iCs/>
      <w:color w:val="000000" w:themeColor="text1"/>
    </w:rPr>
  </w:style>
  <w:style w:type="character" w:customStyle="1" w:styleId="Heading4Char">
    <w:name w:val="Heading 4 Char"/>
    <w:basedOn w:val="DefaultParagraphFont"/>
    <w:link w:val="Heading4"/>
    <w:uiPriority w:val="9"/>
    <w:semiHidden/>
    <w:rsid w:val="00FC693F"/>
    <w:rPr>
      <w:rFonts w:ascii="Arial" w:eastAsia="Arial" w:hAnsi="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eastAsia="Arial" w:hAnsi="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eastAsia="Arial" w:hAnsi="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eastAsia="Arial" w:hAnsi="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eastAsia="Arial" w:hAnsi="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eastAsia="Arial" w:hAnsi="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rFonts w:ascii="Arial" w:eastAsia="Arial" w:hAnsi="Arial" w:cs="Arial"/>
      <w:b/>
      <w:bCs/>
    </w:rPr>
  </w:style>
  <w:style w:type="character" w:styleId="Emphasis">
    <w:name w:val="Emphasis"/>
    <w:basedOn w:val="DefaultParagraphFont"/>
    <w:uiPriority w:val="20"/>
    <w:qFormat/>
    <w:rsid w:val="00FC693F"/>
    <w:rPr>
      <w:rFonts w:ascii="Arial" w:eastAsia="Arial" w:hAnsi="Arial" w:cs="Arial"/>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rFonts w:ascii="Arial" w:eastAsia="Arial" w:hAnsi="Arial" w:cs="Arial"/>
      <w:b/>
      <w:bCs/>
      <w:i/>
      <w:iCs/>
      <w:color w:val="4F81BD" w:themeColor="accent1"/>
    </w:rPr>
  </w:style>
  <w:style w:type="character" w:styleId="SubtleEmphasis">
    <w:name w:val="Subtle Emphasis"/>
    <w:basedOn w:val="DefaultParagraphFont"/>
    <w:uiPriority w:val="19"/>
    <w:qFormat/>
    <w:rsid w:val="00FC693F"/>
    <w:rPr>
      <w:rFonts w:ascii="Arial" w:eastAsia="Arial" w:hAnsi="Arial" w:cs="Arial"/>
      <w:i/>
      <w:iCs/>
      <w:color w:val="808080" w:themeColor="text1" w:themeTint="7F"/>
    </w:rPr>
  </w:style>
  <w:style w:type="character" w:styleId="IntenseEmphasis">
    <w:name w:val="Intense Emphasis"/>
    <w:basedOn w:val="DefaultParagraphFont"/>
    <w:uiPriority w:val="21"/>
    <w:qFormat/>
    <w:rsid w:val="00FC693F"/>
    <w:rPr>
      <w:rFonts w:ascii="Arial" w:eastAsia="Arial" w:hAnsi="Arial" w:cs="Arial"/>
      <w:b/>
      <w:bCs/>
      <w:i/>
      <w:iCs/>
      <w:color w:val="4F81BD" w:themeColor="accent1"/>
    </w:rPr>
  </w:style>
  <w:style w:type="character" w:styleId="SubtleReference">
    <w:name w:val="Subtle Reference"/>
    <w:basedOn w:val="DefaultParagraphFont"/>
    <w:uiPriority w:val="31"/>
    <w:qFormat/>
    <w:rsid w:val="00FC693F"/>
    <w:rPr>
      <w:rFonts w:ascii="Arial" w:eastAsia="Arial" w:hAnsi="Arial" w:cs="Arial"/>
      <w:smallCaps/>
      <w:color w:val="C0504D" w:themeColor="accent2"/>
      <w:u w:val="single"/>
    </w:rPr>
  </w:style>
  <w:style w:type="character" w:styleId="IntenseReference">
    <w:name w:val="Intense Reference"/>
    <w:basedOn w:val="DefaultParagraphFont"/>
    <w:uiPriority w:val="32"/>
    <w:qFormat/>
    <w:rsid w:val="00FC693F"/>
    <w:rPr>
      <w:rFonts w:ascii="Arial" w:eastAsia="Arial" w:hAnsi="Arial" w:cs="Arial"/>
      <w:b/>
      <w:bCs/>
      <w:smallCaps/>
      <w:color w:val="C0504D" w:themeColor="accent2"/>
      <w:spacing w:val="5"/>
      <w:u w:val="single"/>
    </w:rPr>
  </w:style>
  <w:style w:type="character" w:styleId="BookTitle">
    <w:name w:val="Book Title"/>
    <w:basedOn w:val="DefaultParagraphFont"/>
    <w:uiPriority w:val="33"/>
    <w:qFormat/>
    <w:rsid w:val="00FC693F"/>
    <w:rPr>
      <w:rFonts w:ascii="Arial" w:eastAsia="Arial" w:hAnsi="Arial" w:cs="Arial"/>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rPr>
      <w:rFonts w:ascii="Arial" w:eastAsia="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Arial" w:eastAsia="Arial" w:hAnsi="Arial" w:cs="Arial"/>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eastAsia="Arial" w:hAnsi="Arial" w:cs="Arial"/>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eastAsia="Arial" w:hAnsi="Arial" w:cs="Arial"/>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eastAsia="Arial" w:hAnsi="Arial" w:cs="Arial"/>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eastAsia="Arial" w:hAnsi="Arial" w:cs="Arial"/>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eastAsia="Arial" w:hAnsi="Arial" w:cs="Arial"/>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eastAsia="Arial" w:hAnsi="Arial" w:cs="Arial"/>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eastAsia="Arial" w:hAnsi="Arial" w:cs="Arial"/>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eastAsia="Arial" w:hAnsi="Arial" w:cs="Arial"/>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eastAsia="Arial" w:hAnsi="Arial" w:cs="Arial"/>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eastAsia="Arial" w:hAnsi="Arial" w:cs="Arial"/>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eastAsia="Arial" w:hAnsi="Arial" w:cs="Arial"/>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eastAsia="Arial" w:hAnsi="Arial" w:cs="Arial"/>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eastAsia="Arial" w:hAnsi="Arial" w:cs="Arial"/>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eastAsia="Arial" w:hAnsi="Arial" w:cs="Arial"/>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eastAsia="Arial" w:hAnsi="Arial" w:cs="Arial"/>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ocumentIdentifier">
    <w:name w:val="Document Identifier"/>
    <w:pPr>
      <w:spacing w:after="40"/>
    </w:pPr>
    <w:rPr>
      <w:rFonts w:ascii="Arial" w:eastAsia="Arial" w:hAnsi="Arial" w:cs="Arial"/>
      <w:b/>
    </w:rPr>
  </w:style>
  <w:style w:type="paragraph" w:customStyle="1" w:styleId="OrientationNote">
    <w:name w:val="Orientation Note"/>
    <w:pPr>
      <w:spacing w:after="0"/>
    </w:pPr>
    <w:rPr>
      <w:rFonts w:ascii="Arial" w:eastAsia="Arial" w:hAnsi="Arial" w:cs="Arial"/>
      <w:i/>
      <w:sz w:val="21"/>
    </w:rPr>
  </w:style>
  <w:style w:type="paragraph" w:customStyle="1" w:styleId="SourceNoteHeading">
    <w:name w:val="Source Note Heading"/>
    <w:pPr>
      <w:keepNext/>
      <w:keepLines/>
      <w:spacing w:before="280" w:after="80"/>
    </w:pPr>
    <w:rPr>
      <w:rFonts w:ascii="Arial" w:eastAsia="Arial" w:hAnsi="Arial" w:cs="Arial"/>
      <w:b/>
    </w:rPr>
  </w:style>
  <w:style w:type="paragraph" w:customStyle="1" w:styleId="GOTSupportSpacer">
    <w:name w:val="GOT Support Spacer"/>
    <w:basedOn w:val="Normal"/>
    <w:pPr>
      <w:keepNext/>
      <w:spacing w:after="0" w:line="240" w:lineRule="auto"/>
    </w:pPr>
  </w:style>
  <w:style w:type="paragraph" w:customStyle="1" w:styleId="PreludeTableText">
    <w:name w:val="Prelude Table Text"/>
    <w:basedOn w:val="Normal"/>
    <w:pPr>
      <w:keepLines/>
      <w:spacing w:after="0" w:line="240" w:lineRule="auto"/>
    </w:pPr>
    <w:rPr>
      <w:sz w:val="20"/>
    </w:rPr>
  </w:style>
  <w:style w:type="paragraph" w:customStyle="1" w:styleId="PreludeTableCaption">
    <w:name w:val="Prelude Table Caption"/>
    <w:basedOn w:val="Normal"/>
    <w:pPr>
      <w:keepNext/>
      <w:keepLines/>
      <w:spacing w:after="120" w:line="240" w:lineRule="auto"/>
    </w:pPr>
  </w:style>
  <w:style w:type="paragraph" w:customStyle="1" w:styleId="PreludeComparison">
    <w:name w:val="Prelude Comparison"/>
    <w:basedOn w:val="Normal"/>
    <w:pPr>
      <w:keepLines/>
      <w:spacing w:after="0" w:line="240" w:lineRule="auto"/>
    </w:pPr>
    <w:rPr>
      <w:sz w:val="20"/>
    </w:rPr>
  </w:style>
  <w:style w:type="paragraph" w:customStyle="1" w:styleId="PreludeOrientation">
    <w:name w:val="Prelude Orientation"/>
    <w:basedOn w:val="Normal"/>
    <w:pPr>
      <w:spacing w:after="40" w:line="240" w:lineRule="auto"/>
    </w:pPr>
    <w:rPr>
      <w:color w:val="55555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Microsoft Office Word</Application>
  <DocSecurity>0</DocSecurity>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3a Prelude</dc:title>
  <dc:subject>Horizon and Unknown Discipline</dc:subject>
  <dc:creator>python-docx</dc:creator>
  <cp:keywords/>
  <dc:description>Non-canonical reader introduction. Issue 1.</dc:description>
  <cp:lastModifiedBy>Pat Pullara</cp:lastModifiedBy>
  <cp:revision>1</cp:revision>
  <dcterms:created xsi:type="dcterms:W3CDTF">2013-12-23T23:15:00Z</dcterms:created>
  <dcterms:modified xsi:type="dcterms:W3CDTF">2026-09-25T12:26:29Z</dcterms:modified>
  <cp:category/>
</cp:coreProperties>
</file>